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4A42AD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BC31CC">
        <w:rPr>
          <w:rFonts w:ascii="Times New Roman" w:eastAsia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 w:rsidR="00944F61">
        <w:rPr>
          <w:rFonts w:ascii="Times New Roman" w:eastAsia="Times New Roman" w:hAnsi="Times New Roman"/>
          <w:b/>
          <w:sz w:val="24"/>
          <w:szCs w:val="24"/>
          <w:lang w:val="uk-UA"/>
        </w:rPr>
        <w:t>03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proofErr w:type="gram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1C47E5" w:rsidRPr="001C47E5" w:rsidRDefault="00F76876" w:rsidP="001C47E5">
      <w:pPr>
        <w:spacing w:before="240"/>
        <w:jc w:val="both"/>
        <w:rPr>
          <w:rFonts w:ascii="Times New Roman" w:eastAsia="Times New Roman" w:hAnsi="Times New Roman" w:cs="Times New Roman"/>
          <w:b/>
          <w:bCs/>
          <w:color w:val="000000"/>
          <w:lang w:val="uk-UA"/>
        </w:rPr>
      </w:pP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й </w:t>
      </w:r>
      <w:proofErr w:type="spellStart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(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Реактиви</w:t>
      </w:r>
      <w:proofErr w:type="spell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та </w:t>
      </w:r>
      <w:proofErr w:type="spell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реагенти</w:t>
      </w:r>
      <w:proofErr w:type="spell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для </w:t>
      </w:r>
      <w:proofErr w:type="spell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виконання</w:t>
      </w:r>
      <w:proofErr w:type="spell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досліджень</w:t>
      </w:r>
      <w:proofErr w:type="spell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на </w:t>
      </w:r>
      <w:proofErr w:type="spell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аналізаторі</w:t>
      </w:r>
      <w:proofErr w:type="spell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PENTRA</w:t>
      </w:r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С 400, </w:t>
      </w:r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код номенклатурної позиції за ДК 021:2015: 33696500-0 - Лабораторні реактиви, </w:t>
      </w:r>
      <w:proofErr w:type="gramStart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код  за</w:t>
      </w:r>
      <w:proofErr w:type="gramEnd"/>
      <w:r w:rsidR="001C47E5" w:rsidRPr="001C47E5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 ДК 021:2015: 33690000-3 - Лікарські засоби різні</w:t>
      </w:r>
    </w:p>
    <w:p w:rsidR="001C47E5" w:rsidRDefault="00F76876" w:rsidP="00F76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  <w:r w:rsidR="001C47E5" w:rsidRPr="001C47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1C47E5" w:rsidRDefault="001C47E5" w:rsidP="00F768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1C47E5" w:rsidRPr="001C47E5" w:rsidRDefault="001C47E5" w:rsidP="001C47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C47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UA-2025-03-05-003171-a</w:t>
      </w:r>
    </w:p>
    <w:p w:rsidR="001C47E5" w:rsidRDefault="001C47E5" w:rsidP="00F768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1C47E5" w:rsidRDefault="00F76876" w:rsidP="00F475D4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proofErr w:type="gram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6</w:t>
      </w:r>
      <w:proofErr w:type="gram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214 188,74 грн. (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мільйонів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чотирнадцять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сто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74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), у </w:t>
      </w:r>
      <w:proofErr w:type="spellStart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="001C47E5" w:rsidRPr="001C47E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1035698.12 грн.</w:t>
      </w:r>
    </w:p>
    <w:p w:rsidR="00EB64E4" w:rsidRPr="00ED18F1" w:rsidRDefault="00F76876" w:rsidP="00F475D4">
      <w:pPr>
        <w:spacing w:before="2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44F61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F475D4" w:rsidRDefault="00F76876" w:rsidP="001C47E5">
      <w:pPr>
        <w:tabs>
          <w:tab w:val="right" w:pos="8505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1C47E5" w:rsidRPr="001C47E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6 214 188,74 грн. (шість мільйонів двісті чотирнадцять тисяч сто вісімдесят вісім гривень 74 копійки), у </w:t>
      </w:r>
      <w:proofErr w:type="spellStart"/>
      <w:r w:rsidR="001C47E5" w:rsidRPr="001C47E5">
        <w:rPr>
          <w:rFonts w:ascii="Times New Roman" w:eastAsia="Times New Roman" w:hAnsi="Times New Roman" w:cs="Times New Roman"/>
          <w:sz w:val="24"/>
          <w:szCs w:val="24"/>
          <w:lang w:val="uk-UA"/>
        </w:rPr>
        <w:t>т.ч</w:t>
      </w:r>
      <w:proofErr w:type="spellEnd"/>
      <w:r w:rsidR="001C47E5" w:rsidRPr="001C47E5">
        <w:rPr>
          <w:rFonts w:ascii="Times New Roman" w:eastAsia="Times New Roman" w:hAnsi="Times New Roman" w:cs="Times New Roman"/>
          <w:sz w:val="24"/>
          <w:szCs w:val="24"/>
          <w:lang w:val="uk-UA"/>
        </w:rPr>
        <w:t>. ПДВ (20%) 1035698.12 грн.</w:t>
      </w:r>
    </w:p>
    <w:p w:rsidR="001C47E5" w:rsidRPr="004A42AD" w:rsidRDefault="001C47E5" w:rsidP="001C47E5">
      <w:pPr>
        <w:tabs>
          <w:tab w:val="right" w:pos="8505"/>
        </w:tabs>
        <w:suppressAutoHyphens/>
        <w:spacing w:after="0" w:line="252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:rsidR="00F76876" w:rsidRPr="00330C82" w:rsidRDefault="00F76876" w:rsidP="004A42A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330C8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330C8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eastAsia="uk-UA"/>
        </w:rPr>
        <w:t xml:space="preserve">Строк 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val="uk-UA" w:eastAsia="uk-UA"/>
        </w:rPr>
        <w:t xml:space="preserve">поставки </w:t>
      </w:r>
      <w:proofErr w:type="gramStart"/>
      <w:r w:rsidRPr="00330C82">
        <w:rPr>
          <w:rFonts w:ascii="Times New Roman" w:hAnsi="Times New Roman" w:cs="Times New Roman"/>
          <w:bCs/>
          <w:sz w:val="24"/>
          <w:szCs w:val="24"/>
          <w:u w:val="single"/>
          <w:lang w:val="uk-UA" w:eastAsia="uk-UA"/>
        </w:rPr>
        <w:t>товару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eastAsia="uk-UA"/>
        </w:rPr>
        <w:t>:</w:t>
      </w:r>
      <w:r w:rsidRPr="00330C82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  </w:t>
      </w:r>
      <w:r w:rsidR="00EB64E4" w:rsidRPr="00330C82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="00EB64E4"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47E5" w:rsidRPr="0033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30 </w:t>
      </w:r>
      <w:proofErr w:type="spellStart"/>
      <w:r w:rsidR="001C47E5" w:rsidRPr="00330C82">
        <w:rPr>
          <w:rFonts w:ascii="Times New Roman" w:hAnsi="Times New Roman" w:cs="Times New Roman"/>
          <w:sz w:val="24"/>
          <w:szCs w:val="24"/>
          <w:u w:val="single"/>
        </w:rPr>
        <w:t>квытня</w:t>
      </w:r>
      <w:proofErr w:type="spellEnd"/>
      <w:r w:rsidR="00F475D4" w:rsidRPr="0033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1C47E5" w:rsidRPr="00330C82">
        <w:rPr>
          <w:rFonts w:ascii="Times New Roman" w:hAnsi="Times New Roman" w:cs="Times New Roman"/>
          <w:sz w:val="24"/>
          <w:szCs w:val="24"/>
          <w:u w:val="single"/>
          <w:lang w:val="uk-UA"/>
        </w:rPr>
        <w:t>6</w:t>
      </w:r>
      <w:r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року </w:t>
      </w:r>
      <w:proofErr w:type="spellStart"/>
      <w:r w:rsidRPr="00330C82">
        <w:rPr>
          <w:rFonts w:ascii="Times New Roman" w:hAnsi="Times New Roman" w:cs="Times New Roman"/>
          <w:sz w:val="24"/>
          <w:szCs w:val="24"/>
          <w:u w:val="single"/>
        </w:rPr>
        <w:t>включно</w:t>
      </w:r>
      <w:proofErr w:type="spellEnd"/>
      <w:r w:rsidRPr="00330C82">
        <w:rPr>
          <w:rFonts w:ascii="Times New Roman" w:hAnsi="Times New Roman" w:cs="Times New Roman"/>
          <w:sz w:val="24"/>
          <w:szCs w:val="24"/>
          <w:u w:val="single"/>
          <w:lang w:eastAsia="uk-UA"/>
        </w:rPr>
        <w:t>.</w:t>
      </w:r>
    </w:p>
    <w:p w:rsidR="00330C82" w:rsidRPr="00330C82" w:rsidRDefault="00F76876" w:rsidP="00330C82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330C82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30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C82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330C82">
        <w:rPr>
          <w:rFonts w:ascii="Times New Roman" w:hAnsi="Times New Roman" w:cs="Times New Roman"/>
          <w:sz w:val="24"/>
          <w:szCs w:val="24"/>
        </w:rPr>
        <w:t xml:space="preserve">:  </w:t>
      </w:r>
      <w:r w:rsidR="00330C82" w:rsidRPr="00330C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35</w:t>
      </w:r>
      <w:proofErr w:type="gramEnd"/>
      <w:r w:rsidR="00330C82" w:rsidRPr="00330C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найменування </w:t>
      </w:r>
    </w:p>
    <w:p w:rsidR="004A42AD" w:rsidRPr="00330C82" w:rsidRDefault="004A42AD" w:rsidP="00330C82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330C82">
        <w:rPr>
          <w:rFonts w:ascii="Times New Roman" w:hAnsi="Times New Roman" w:cs="Times New Roman"/>
          <w:b/>
        </w:rPr>
        <w:t>Обґрунтування</w:t>
      </w:r>
      <w:proofErr w:type="spellEnd"/>
      <w:r w:rsidRPr="00330C82">
        <w:rPr>
          <w:rFonts w:ascii="Times New Roman" w:hAnsi="Times New Roman" w:cs="Times New Roman"/>
          <w:b/>
        </w:rPr>
        <w:t xml:space="preserve"> </w:t>
      </w:r>
      <w:proofErr w:type="spellStart"/>
      <w:r w:rsidRPr="00330C82">
        <w:rPr>
          <w:rFonts w:ascii="Times New Roman" w:hAnsi="Times New Roman" w:cs="Times New Roman"/>
          <w:b/>
        </w:rPr>
        <w:t>якісних</w:t>
      </w:r>
      <w:proofErr w:type="spellEnd"/>
      <w:r w:rsidRPr="00330C82">
        <w:rPr>
          <w:rFonts w:ascii="Times New Roman" w:hAnsi="Times New Roman" w:cs="Times New Roman"/>
          <w:b/>
        </w:rPr>
        <w:t xml:space="preserve"> характеристик: </w:t>
      </w:r>
      <w:r w:rsidRPr="00330C82">
        <w:rPr>
          <w:rFonts w:ascii="Times New Roman" w:eastAsia="Times New Roman" w:hAnsi="Times New Roman" w:cs="Times New Roman"/>
        </w:rPr>
        <w:t xml:space="preserve">Товар повинен бути введений в </w:t>
      </w:r>
      <w:proofErr w:type="spellStart"/>
      <w:r w:rsidRPr="00330C82">
        <w:rPr>
          <w:rFonts w:ascii="Times New Roman" w:eastAsia="Times New Roman" w:hAnsi="Times New Roman" w:cs="Times New Roman"/>
        </w:rPr>
        <w:t>обіг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відповідно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до </w:t>
      </w:r>
      <w:proofErr w:type="spellStart"/>
      <w:r w:rsidRPr="00330C82">
        <w:rPr>
          <w:rFonts w:ascii="Times New Roman" w:eastAsia="Times New Roman" w:hAnsi="Times New Roman" w:cs="Times New Roman"/>
        </w:rPr>
        <w:t>законодавства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330C82">
        <w:rPr>
          <w:rFonts w:ascii="Times New Roman" w:eastAsia="Times New Roman" w:hAnsi="Times New Roman" w:cs="Times New Roman"/>
        </w:rPr>
        <w:t>сфері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технічного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регулювання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330C82">
        <w:rPr>
          <w:rFonts w:ascii="Times New Roman" w:eastAsia="Times New Roman" w:hAnsi="Times New Roman" w:cs="Times New Roman"/>
        </w:rPr>
        <w:t>оцінки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відповідності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, у </w:t>
      </w:r>
      <w:proofErr w:type="spellStart"/>
      <w:r w:rsidRPr="00330C82">
        <w:rPr>
          <w:rFonts w:ascii="Times New Roman" w:eastAsia="Times New Roman" w:hAnsi="Times New Roman" w:cs="Times New Roman"/>
        </w:rPr>
        <w:t>передбаченому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законодавством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порядку. На підтвердження Учасник повинен надати: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330C82">
        <w:rPr>
          <w:rFonts w:eastAsia="Times New Roman" w:cs="Times New Roman"/>
          <w:kern w:val="0"/>
          <w:lang w:eastAsia="ru-RU" w:bidi="ar-SA"/>
        </w:rPr>
        <w:t>in</w:t>
      </w:r>
      <w:proofErr w:type="spellEnd"/>
      <w:r w:rsidRPr="00330C82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330C82">
        <w:rPr>
          <w:rFonts w:eastAsia="Times New Roman" w:cs="Times New Roman"/>
          <w:kern w:val="0"/>
          <w:lang w:eastAsia="ru-RU" w:bidi="ar-SA"/>
        </w:rPr>
        <w:t>vitro</w:t>
      </w:r>
      <w:proofErr w:type="spellEnd"/>
      <w:r w:rsidRPr="00330C82">
        <w:rPr>
          <w:rFonts w:eastAsia="Times New Roman" w:cs="Times New Roman"/>
          <w:kern w:val="0"/>
          <w:lang w:eastAsia="ru-RU" w:bidi="ar-SA"/>
        </w:rPr>
        <w:t xml:space="preserve">».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0C82">
        <w:rPr>
          <w:rFonts w:eastAsia="Times New Roman" w:cs="Times New Roman"/>
          <w:kern w:val="0"/>
          <w:lang w:val="ru-RU" w:eastAsia="ru-RU" w:bidi="ar-SA"/>
        </w:rPr>
        <w:t>75</w:t>
      </w:r>
      <w:r w:rsidRPr="00330C82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330C82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330C82">
        <w:rPr>
          <w:rFonts w:ascii="Times New Roman" w:eastAsia="Times New Roman" w:hAnsi="Times New Roman" w:cs="Times New Roman"/>
          <w:b/>
          <w:bCs/>
          <w:lang w:eastAsia="uk-UA"/>
        </w:rPr>
        <w:t>Медико</w:t>
      </w:r>
      <w:r w:rsidRPr="00DC613C">
        <w:rPr>
          <w:rFonts w:ascii="Times New Roman" w:eastAsia="Times New Roman" w:hAnsi="Times New Roman"/>
          <w:b/>
          <w:bCs/>
          <w:lang w:eastAsia="uk-UA"/>
        </w:rPr>
        <w:t>-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технічні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вимоги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до предмета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закупівлі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p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402"/>
        <w:gridCol w:w="2667"/>
        <w:gridCol w:w="584"/>
        <w:gridCol w:w="670"/>
        <w:gridCol w:w="3280"/>
      </w:tblGrid>
      <w:tr w:rsidR="00330C82" w:rsidRPr="009C3E51" w:rsidTr="00330C82">
        <w:trPr>
          <w:trHeight w:val="381"/>
          <w:jc w:val="center"/>
        </w:trPr>
        <w:tc>
          <w:tcPr>
            <w:tcW w:w="425" w:type="dxa"/>
            <w:shd w:val="clear" w:color="auto" w:fill="EEEEEE"/>
            <w:noWrap/>
            <w:vAlign w:val="center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02" w:type="dxa"/>
            <w:shd w:val="clear" w:color="auto" w:fill="EEEEEE"/>
            <w:vAlign w:val="center"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НК 024:2023</w:t>
            </w:r>
          </w:p>
        </w:tc>
        <w:tc>
          <w:tcPr>
            <w:tcW w:w="2667" w:type="dxa"/>
            <w:shd w:val="clear" w:color="auto" w:fill="EEEEEE"/>
            <w:noWrap/>
            <w:vAlign w:val="center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39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884" w:type="dxa"/>
            <w:gridSpan w:val="2"/>
            <w:shd w:val="clear" w:color="auto" w:fill="EEEEEE"/>
            <w:noWrap/>
            <w:vAlign w:val="center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650" w:type="dxa"/>
            <w:shd w:val="clear" w:color="auto" w:fill="EEEEEE"/>
            <w:vAlign w:val="center"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bCs/>
                <w:sz w:val="18"/>
                <w:szCs w:val="18"/>
              </w:rPr>
              <w:t>Технічні</w:t>
            </w:r>
            <w:proofErr w:type="spellEnd"/>
            <w:r w:rsidRPr="009C3E5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характеристики</w:t>
            </w:r>
          </w:p>
        </w:tc>
      </w:tr>
      <w:tr w:rsidR="00330C82" w:rsidRPr="009C3E51" w:rsidTr="00330C82">
        <w:trPr>
          <w:trHeight w:val="89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52930 -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лужна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 фосфатаза (ALP)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ALP СР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Лужна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фосфатаза)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52923 -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Аланінамінотрансфераза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(ALT)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АLТ СР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Аланінамінотрансфераза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52954 -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аспартатамінотрансфераза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(AST)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АSТ СР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Аспартатамінотрансфераза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52940 -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амілаза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Амілаза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53027 - Гама-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глутамілтрансфераза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(ГГТ) IVD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GGТ СР (Гамма-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глутамілтрансфераза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53229 -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білірубін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Білірубін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53233 -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Кон'югований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зв'язаний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білірубін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Білірубін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08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61900 -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100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53301 - Глюкоза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Глюкоза РАР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53587 -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Сечовина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Urea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Сечовина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53251 -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Креатинін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Креатинін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120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53359 -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53391 - Холестерин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ліпопротеїнів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високої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щільності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HDL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(Холестерин ЛВЩ)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53395 -Холестерин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ліпопротеїнів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низької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щільності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LDL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Прямий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(Холестерин ЛНЩ)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53460 -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Тригліцериди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Тригліцериди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53583 -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Сечова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кислота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ферментний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спектрофотометричний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Сечова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кислота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53705 -C-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реактивний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(СРБ)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нефелометричний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турбідиметричний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CRP СР (С-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реактивний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59055 - Бета-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гемолітичний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стрептокок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А,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антитіла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стрептолізину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O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нефелометричний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турбідиметричний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АSО 2 СР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Антистрептолізин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55111 -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Ревматоїдний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чинник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нефелометричний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турбідиметричним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RF СР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Ревматоїдний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фактор)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1024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47868 -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Множинні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аналіти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хімії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Мультікалібратор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3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44696 -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холестерину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ліпопротеїнів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високої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щільності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(ЛПВЩ),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HDL (Холестерин ЛВЩ)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819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41838 - С-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реактивний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(CRP)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CRP (С-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реактивний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1056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51744 - Бета-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гемолітичний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стрептокок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А,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антитіла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стрептолізину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O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АSО 2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Антистрептолізин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42230 -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Ревматоїдний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чинник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,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RF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Ревматоїдний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фактор)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різної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концентрації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41728 - Холестерин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ліпопротеїнів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низької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щільності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LDL (Холестерин ЛНЩ)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1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53594 -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Множинні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білки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хімії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МультіКонтроль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N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5 мл.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53594 -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Множинні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білки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хімії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МультіКонтроль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P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флаконів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по 5 мл.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</w:tcPr>
          <w:p w:rsidR="00330C82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59058 -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Мийний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очищувальний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автоматизованих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напівавтоматизованих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Депротеінізатор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CP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402" w:type="dxa"/>
          </w:tcPr>
          <w:p w:rsidR="00330C82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59058 -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Мийний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очищувальний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автоматизованих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напівавтоматизованих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систем</w:t>
            </w:r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Клін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-Чем 99 СР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752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61032 - Кювета для лабораторного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аналізатора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одноразового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Сегменти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кювет з штативом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кювети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В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сегментів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кювет,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кожен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сегмент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складається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12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однакових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кювет.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С400/ABX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</w:t>
            </w: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61032 - Кювета для лабораторного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аналізатора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одноразового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Чашка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зразків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- Синя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Одноразові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пробірки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синього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кольору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Адаптовані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58048 -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калібрування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перевіряння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оптичного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інструменту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2667" w:type="dxa"/>
            <w:hideMark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Пресітест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Розчин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ABX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0" w:type="dxa"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  <w:hideMark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Адаптований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біохімічному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аналізаторі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серії</w:t>
            </w:r>
            <w:proofErr w:type="spellEnd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3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Pentra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</w:tcPr>
          <w:p w:rsidR="00330C82" w:rsidRPr="007E7BEF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402" w:type="dxa"/>
          </w:tcPr>
          <w:p w:rsidR="00330C82" w:rsidRPr="00330C82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59090 - </w:t>
            </w: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Глікозильований</w:t>
            </w:r>
            <w:proofErr w:type="spellEnd"/>
          </w:p>
          <w:p w:rsidR="00330C82" w:rsidRPr="00330C82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</w:t>
            </w:r>
            <w:proofErr w:type="spellEnd"/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IVD</w:t>
            </w:r>
          </w:p>
          <w:p w:rsidR="00330C82" w:rsidRPr="00330C82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890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діагностика</w:t>
            </w:r>
            <w:proofErr w:type="spellEnd"/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vitro</w:t>
            </w:r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)</w:t>
            </w:r>
            <w:proofErr w:type="gramEnd"/>
            <w:r w:rsidRPr="00330C8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330C82" w:rsidRPr="00B279CF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набір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нефелометричний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</w:p>
          <w:p w:rsidR="00330C82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турбідиметричним</w:t>
            </w:r>
            <w:proofErr w:type="spellEnd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9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аналіз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Quo-Lab</w:t>
            </w:r>
            <w:proofErr w:type="spellEnd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 xml:space="preserve"> A1C </w:t>
            </w: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Тестовий</w:t>
            </w:r>
            <w:proofErr w:type="spellEnd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7AA2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(50 шт.)</w:t>
            </w:r>
          </w:p>
        </w:tc>
        <w:tc>
          <w:tcPr>
            <w:tcW w:w="600" w:type="dxa"/>
          </w:tcPr>
          <w:p w:rsidR="00330C82" w:rsidRPr="007E7BEF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84" w:type="dxa"/>
            <w:noWrap/>
          </w:tcPr>
          <w:p w:rsidR="00330C82" w:rsidRPr="007E7BEF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наборі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картриджів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реагентом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Адаптовані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глікозильованого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гемоглобіну</w:t>
            </w:r>
            <w:proofErr w:type="spellEnd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Quo-Lab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</w:tcPr>
          <w:p w:rsidR="00330C82" w:rsidRPr="007E7BEF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3402" w:type="dxa"/>
          </w:tcPr>
          <w:p w:rsidR="00330C82" w:rsidRPr="007E7BEF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44435 -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</w:p>
          <w:p w:rsidR="00330C82" w:rsidRPr="007E7BEF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глікованого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гемоглобіну</w:t>
            </w:r>
            <w:proofErr w:type="spellEnd"/>
          </w:p>
          <w:p w:rsidR="00330C82" w:rsidRPr="00330C82" w:rsidRDefault="00330C82" w:rsidP="00BD3E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0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(HbA1c), IVD (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330C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 vitro)</w:t>
            </w:r>
          </w:p>
        </w:tc>
        <w:tc>
          <w:tcPr>
            <w:tcW w:w="2667" w:type="dxa"/>
          </w:tcPr>
          <w:p w:rsidR="00330C82" w:rsidRPr="009C3E51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Quo-Lab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A1C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600" w:type="dxa"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</w:tcPr>
          <w:p w:rsidR="00330C82" w:rsidRPr="009C3E51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7E7BEF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наборі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</w:p>
          <w:p w:rsidR="00330C82" w:rsidRPr="009C3E51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Адаптовані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аналізатора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глікозильованого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гемоглобіну</w:t>
            </w:r>
            <w:proofErr w:type="spellEnd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7B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Quo-Lab</w:t>
            </w:r>
            <w:proofErr w:type="spellEnd"/>
          </w:p>
        </w:tc>
      </w:tr>
      <w:tr w:rsidR="00330C82" w:rsidRPr="009C3E51" w:rsidTr="00330C82">
        <w:trPr>
          <w:trHeight w:val="225"/>
          <w:jc w:val="center"/>
        </w:trPr>
        <w:tc>
          <w:tcPr>
            <w:tcW w:w="425" w:type="dxa"/>
            <w:noWrap/>
          </w:tcPr>
          <w:p w:rsidR="00330C82" w:rsidRPr="001023CE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3402" w:type="dxa"/>
          </w:tcPr>
          <w:p w:rsidR="00330C82" w:rsidRPr="007E7BEF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53594 -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Множинні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білки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хімії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IVD (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діагностика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),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  <w:proofErr w:type="spellEnd"/>
          </w:p>
        </w:tc>
        <w:tc>
          <w:tcPr>
            <w:tcW w:w="2667" w:type="dxa"/>
          </w:tcPr>
          <w:p w:rsidR="00330C82" w:rsidRPr="007E7BEF" w:rsidRDefault="00330C82" w:rsidP="00BD3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Імуно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I L/H ABX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Pentra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 (АБХ </w:t>
            </w:r>
            <w:proofErr w:type="spellStart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>Пентра</w:t>
            </w:r>
            <w:proofErr w:type="spellEnd"/>
            <w:r w:rsidRPr="001023CE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</w:p>
        </w:tc>
        <w:tc>
          <w:tcPr>
            <w:tcW w:w="600" w:type="dxa"/>
          </w:tcPr>
          <w:p w:rsidR="00330C82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noWrap/>
          </w:tcPr>
          <w:p w:rsidR="00330C82" w:rsidRDefault="00330C82" w:rsidP="00BD3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3650" w:type="dxa"/>
          </w:tcPr>
          <w:p w:rsidR="00330C82" w:rsidRPr="001023CE" w:rsidRDefault="00330C82" w:rsidP="00BD3E2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Набір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1 флакон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високого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рівня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по 3 мл та 1 флакон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низького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рівня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по 3 мл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Адаптований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роботи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біохімічному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аналізаторі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серії</w:t>
            </w:r>
            <w:proofErr w:type="spellEnd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23CE">
              <w:rPr>
                <w:rFonts w:ascii="Times New Roman" w:eastAsia="Times New Roman" w:hAnsi="Times New Roman" w:cs="Times New Roman"/>
                <w:color w:val="000000"/>
              </w:rPr>
              <w:t>Pentra</w:t>
            </w:r>
            <w:proofErr w:type="spellEnd"/>
          </w:p>
        </w:tc>
      </w:tr>
    </w:tbl>
    <w:p w:rsidR="00F76876" w:rsidRPr="004A42AD" w:rsidRDefault="00F76876" w:rsidP="004A42AD">
      <w:pPr>
        <w:spacing w:before="240" w:after="0" w:line="240" w:lineRule="auto"/>
        <w:jc w:val="center"/>
        <w:rPr>
          <w:sz w:val="24"/>
          <w:szCs w:val="24"/>
        </w:rPr>
      </w:pPr>
    </w:p>
    <w:sectPr w:rsidR="00F76876" w:rsidRPr="004A42AD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243A0"/>
    <w:rsid w:val="001C47E5"/>
    <w:rsid w:val="001C5F64"/>
    <w:rsid w:val="002306BF"/>
    <w:rsid w:val="00330C82"/>
    <w:rsid w:val="003A30A8"/>
    <w:rsid w:val="004A42AD"/>
    <w:rsid w:val="004C3B2C"/>
    <w:rsid w:val="006C48D5"/>
    <w:rsid w:val="006F1E44"/>
    <w:rsid w:val="00704330"/>
    <w:rsid w:val="00716592"/>
    <w:rsid w:val="00747E62"/>
    <w:rsid w:val="00761238"/>
    <w:rsid w:val="00784B76"/>
    <w:rsid w:val="00944F61"/>
    <w:rsid w:val="00B17852"/>
    <w:rsid w:val="00BC31CC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68D"/>
  <w15:docId w15:val="{70CC4B3F-F825-4317-8EB9-414671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8526</Words>
  <Characters>4860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2024-11-15T10:40:00Z</cp:lastPrinted>
  <dcterms:created xsi:type="dcterms:W3CDTF">2025-03-24T12:57:00Z</dcterms:created>
  <dcterms:modified xsi:type="dcterms:W3CDTF">2025-03-24T13:00:00Z</dcterms:modified>
</cp:coreProperties>
</file>