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56C5D287" w:rsidR="00F76876" w:rsidRPr="00EB64E4" w:rsidRDefault="00CF159E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29.10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11»  Харківської  міської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>61129, Україна, Харківська область, м. Харків, проспект Тракторобудівників,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ідентифікаційний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3CA9ED4F" w14:textId="77777777" w:rsid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792D4559" w14:textId="560D9D85" w:rsidR="00435B3B" w:rsidRPr="00435B3B" w:rsidRDefault="00F76876" w:rsidP="00435B3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435B3B" w:rsidRPr="00435B3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Медичне обладнання різне,</w:t>
      </w:r>
      <w:r w:rsidR="00435B3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35B3B" w:rsidRPr="00435B3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Код ДК 021:2015: 33190000-8 Медичне обладнання та вироби медичного призначення різні</w:t>
      </w:r>
    </w:p>
    <w:p w14:paraId="4969D4F0" w14:textId="58CA58FF" w:rsidR="0050382F" w:rsidRPr="00435B3B" w:rsidRDefault="0050382F" w:rsidP="0050382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1CA2AA" w14:textId="77777777" w:rsidR="006D5B97" w:rsidRDefault="00F76876" w:rsidP="00261511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 торги з особливостями</w:t>
      </w:r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3C347D7D" w14:textId="0E827E7B" w:rsidR="0050382F" w:rsidRDefault="00435B3B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435B3B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UA-2025-10-29-000959-a</w:t>
      </w:r>
    </w:p>
    <w:p w14:paraId="545622A2" w14:textId="77777777" w:rsidR="00435B3B" w:rsidRPr="006D5B97" w:rsidRDefault="00435B3B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</w:t>
      </w:r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FB5AAB9" w14:textId="7DBF0F31" w:rsidR="00170C4E" w:rsidRPr="0050382F" w:rsidRDefault="00435B3B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628 084.25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шістсот двадцять вісім тисяч вісімдесят чотири гривні 25 копійок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104680.71 грн.</w:t>
      </w:r>
    </w:p>
    <w:p w14:paraId="51CB52D0" w14:textId="2DDE6457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212DAC0" w14:textId="2CA95758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включно</w:t>
      </w:r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372B670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51F5BA04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7A61A7FD" w14:textId="77777777" w:rsidR="00170C4E" w:rsidRP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4C810079" w14:textId="2A071CEA" w:rsidR="00957EF6" w:rsidRDefault="00261511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 та якісних характеристик предмета закупівлі</w:t>
      </w:r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pPr w:leftFromText="180" w:rightFromText="180" w:vertAnchor="text" w:horzAnchor="margin" w:tblpXSpec="center" w:tblpY="153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789"/>
        <w:gridCol w:w="2812"/>
        <w:gridCol w:w="1498"/>
        <w:gridCol w:w="1076"/>
      </w:tblGrid>
      <w:tr w:rsidR="00435B3B" w:rsidRPr="002E0233" w14:paraId="483A1F05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CAC8340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  <w:p w14:paraId="5133D7D6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CEBFF50" w14:textId="77777777" w:rsidR="00435B3B" w:rsidRPr="00A9753E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медичного виробу відповідно до національного класифікатора  НК 024:2023 «Класифікатор медичних виробів»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4AE8059" w14:textId="77777777" w:rsidR="00435B3B" w:rsidRPr="00A9753E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Найменування товару</w:t>
            </w:r>
          </w:p>
          <w:p w14:paraId="057E9979" w14:textId="77777777" w:rsidR="00435B3B" w:rsidRPr="00A9753E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4D260D7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Одиниці виміру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5DA068C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Кіль-кість</w:t>
            </w:r>
          </w:p>
        </w:tc>
      </w:tr>
      <w:tr w:rsidR="00435B3B" w:rsidRPr="002E0233" w14:paraId="6BBD78C2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EDE3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CF6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13959 – Стіл для хірургічних інструментів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F7A1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Столик для приладів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985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8AE0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435B3B" w:rsidRPr="002E0233" w14:paraId="2B284FB1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8BF5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BFB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13514 — Медична ширма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E30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Ширма на колесах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77C2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0BBF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</w:tr>
      <w:tr w:rsidR="00435B3B" w:rsidRPr="001733AB" w14:paraId="57BDD259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0B5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D90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34852 – Стіл/кушетка масажний без електроживлення портативний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670A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Кушетка  медична масажна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A96C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650" w14:textId="77777777" w:rsidR="00435B3B" w:rsidRPr="003219EE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35B3B" w:rsidRPr="002E0233" w14:paraId="63335F94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80C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047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34852 – Стіл/кушетка масажний без електроживлення портативний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5BCD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Стілець для масажу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904D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C918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</w:tr>
      <w:tr w:rsidR="00435B3B" w:rsidRPr="002E0233" w14:paraId="6458B3C8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A401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A223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34833 – «Стілець загального призначення»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0883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Стілець загального призначення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3D5E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655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</w:tr>
      <w:tr w:rsidR="00435B3B" w:rsidRPr="002E0233" w14:paraId="439CFB2E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F5BE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5E0E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34852 – Стіл/кушетка масажний без електроживлення портативний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055D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Кушетка медична оглядова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CF87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2291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</w:tr>
      <w:tr w:rsidR="00435B3B" w:rsidRPr="002E0233" w14:paraId="29D10DA6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D9C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E0A" w14:textId="77777777" w:rsidR="00435B3B" w:rsidRPr="00B32E21" w:rsidRDefault="00435B3B" w:rsidP="00435B3B">
            <w:pPr>
              <w:keepNext/>
              <w:spacing w:after="0" w:line="240" w:lineRule="auto"/>
              <w:outlineLvl w:val="3"/>
              <w:rPr>
                <w:rFonts w:ascii="Arial" w:eastAsiaTheme="majorEastAsia" w:hAnsi="Arial" w:cs="Arial"/>
                <w:color w:val="242638"/>
                <w:sz w:val="26"/>
                <w:szCs w:val="26"/>
              </w:rPr>
            </w:pPr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36069 - стійка для внутрішньовенних вливань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F699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Штатив для вливань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191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B42D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</w:tr>
      <w:tr w:rsidR="00435B3B" w:rsidRPr="002E0233" w14:paraId="473BF6D0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50FA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F15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10535 Медична шафа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7C9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Шафа матеріальна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86EF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284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</w:tr>
      <w:tr w:rsidR="00435B3B" w:rsidRPr="002E0233" w14:paraId="3009F3D3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60A1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DCE0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10535 Медична шафа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55CA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Шафа медична меблева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D1D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C622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435B3B" w:rsidRPr="002E0233" w14:paraId="3C331927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A798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FB3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10535 Медична шафа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F9AE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Шафа матеріальна однодверна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7887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7AD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</w:tr>
      <w:tr w:rsidR="00435B3B" w:rsidRPr="002E0233" w14:paraId="6AAE8506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495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46037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13951 – «Стіл для анестезіологічних інструментів»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FEA2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Столик анестезіолога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9932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CEE3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</w:tr>
      <w:tr w:rsidR="00435B3B" w:rsidRPr="002E0233" w14:paraId="7DC26266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179D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B31B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13951 – «Стіл для анестезіологічних інструментів»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012E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Столик анестезіолога медичний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0A8B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3F40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435B3B" w:rsidRPr="002E0233" w14:paraId="3AA19BA9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CF5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8F21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35058: Тренажер, що імітує підіймання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8EA5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Східці медичні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4FD9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04A3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</w:tr>
      <w:tr w:rsidR="00435B3B" w:rsidRPr="002E0233" w14:paraId="30E92BF9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6FF2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70AE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Arial" w:eastAsiaTheme="majorEastAsia" w:hAnsi="Arial" w:cs="Arial"/>
                <w:caps/>
                <w:color w:val="111111"/>
                <w:sz w:val="32"/>
                <w:szCs w:val="32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10789 Донорське крісло / донорська кушетка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8DEA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Стілець донорський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2784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72B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</w:tr>
      <w:tr w:rsidR="00435B3B" w:rsidRPr="002E0233" w14:paraId="761A7458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0A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D84D5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13959 – Стіл для хірургічних інструментів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9F98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Столик маніпуляційний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573E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DB3D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</w:tr>
    </w:tbl>
    <w:p w14:paraId="47569CF3" w14:textId="77777777" w:rsidR="00435B3B" w:rsidRPr="002A3CA7" w:rsidRDefault="00435B3B" w:rsidP="00435B3B">
      <w:pPr>
        <w:pStyle w:val="11"/>
        <w:numPr>
          <w:ilvl w:val="0"/>
          <w:numId w:val="9"/>
        </w:numPr>
        <w:tabs>
          <w:tab w:val="left" w:pos="284"/>
        </w:tabs>
        <w:jc w:val="both"/>
        <w:rPr>
          <w:sz w:val="24"/>
          <w:szCs w:val="24"/>
        </w:rPr>
      </w:pPr>
      <w:r w:rsidRPr="002A3CA7">
        <w:rPr>
          <w:sz w:val="24"/>
          <w:szCs w:val="24"/>
        </w:rPr>
        <w:t xml:space="preserve">Товар, запропонований Учасником, повинен відповідати медико–технічним вимогам викладеним у даному додатку до Документації. </w:t>
      </w:r>
    </w:p>
    <w:p w14:paraId="60CFEAB8" w14:textId="77777777" w:rsidR="00435B3B" w:rsidRPr="00BC2B88" w:rsidRDefault="00435B3B" w:rsidP="00435B3B">
      <w:pPr>
        <w:pStyle w:val="11"/>
        <w:tabs>
          <w:tab w:val="left" w:pos="284"/>
        </w:tabs>
        <w:jc w:val="both"/>
        <w:rPr>
          <w:i/>
          <w:sz w:val="24"/>
          <w:szCs w:val="24"/>
          <w:lang w:val="ru-RU"/>
        </w:rPr>
      </w:pPr>
      <w:r w:rsidRPr="002A3CA7">
        <w:rPr>
          <w:i/>
          <w:sz w:val="24"/>
          <w:szCs w:val="24"/>
        </w:rPr>
        <w:t xml:space="preserve">  Відповідність технічних характеристик, запропонованого Учасником товару, встановленим медико -технічним вимогам, які викладені у даному додатку до Документації, повинна бути обов’язково підтверджена посиланням на відповідні розділ(и) та/або сторінку(и) технічного документу виробника (експлуатаційної документац</w:t>
      </w:r>
      <w:r w:rsidRPr="002A3CA7">
        <w:rPr>
          <w:sz w:val="24"/>
          <w:szCs w:val="24"/>
        </w:rPr>
        <w:t>ії:</w:t>
      </w:r>
      <w:r w:rsidRPr="002A3CA7">
        <w:rPr>
          <w:i/>
          <w:sz w:val="24"/>
          <w:szCs w:val="24"/>
        </w:rPr>
        <w:t xml:space="preserve"> настанови (інструкції) з експлуатації (застосування), або технічного опису чи технічних умов, або інших документів українською мовою) в якому міститься ця інформація разом з додаванням завірених його копій</w:t>
      </w:r>
      <w:r w:rsidRPr="002A3CA7">
        <w:rPr>
          <w:sz w:val="24"/>
          <w:szCs w:val="24"/>
        </w:rPr>
        <w:t>.</w:t>
      </w:r>
      <w:r w:rsidRPr="002A3CA7">
        <w:rPr>
          <w:i/>
          <w:sz w:val="24"/>
          <w:szCs w:val="24"/>
        </w:rPr>
        <w:t xml:space="preserve"> Підтвердження відповідності технічних характеристик, запропонованого Учасником товару, надається Учасником у формі заповненої таблиці наведеної вище.</w:t>
      </w:r>
    </w:p>
    <w:p w14:paraId="236C89E2" w14:textId="77777777" w:rsidR="00435B3B" w:rsidRPr="00380C59" w:rsidRDefault="00435B3B" w:rsidP="00435B3B">
      <w:pPr>
        <w:pStyle w:val="a5"/>
        <w:numPr>
          <w:ilvl w:val="0"/>
          <w:numId w:val="9"/>
        </w:num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C59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товару на адресу Замовника за рахунок Постачальника.</w:t>
      </w:r>
    </w:p>
    <w:p w14:paraId="15F2724E" w14:textId="77777777" w:rsidR="00435B3B" w:rsidRPr="00380C59" w:rsidRDefault="00435B3B" w:rsidP="00435B3B">
      <w:pPr>
        <w:pStyle w:val="a5"/>
        <w:spacing w:after="0" w:line="240" w:lineRule="auto"/>
        <w:ind w:left="-284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80C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підтвердження Учасник повинен надати оригінал листа в якому він повинен зазначити що постачання запропонованого товару на адресу Замовника за рахунок Постачальника.</w:t>
      </w:r>
    </w:p>
    <w:p w14:paraId="1117CD97" w14:textId="77777777" w:rsidR="00435B3B" w:rsidRPr="00380C59" w:rsidRDefault="00435B3B" w:rsidP="00435B3B">
      <w:pPr>
        <w:pStyle w:val="a5"/>
        <w:numPr>
          <w:ilvl w:val="0"/>
          <w:numId w:val="9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>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5936D69F" w14:textId="77777777" w:rsidR="00435B3B" w:rsidRPr="00380C59" w:rsidRDefault="00435B3B" w:rsidP="00435B3B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C59">
        <w:rPr>
          <w:rFonts w:ascii="Times New Roman" w:hAnsi="Times New Roman" w:cs="Times New Roman"/>
          <w:i/>
          <w:sz w:val="24"/>
          <w:szCs w:val="24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14:paraId="27D47784" w14:textId="77777777" w:rsidR="00435B3B" w:rsidRPr="00380C59" w:rsidRDefault="00435B3B" w:rsidP="00435B3B">
      <w:pPr>
        <w:pStyle w:val="a5"/>
        <w:numPr>
          <w:ilvl w:val="0"/>
          <w:numId w:val="9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lastRenderedPageBreak/>
        <w:t>Гарантійний термін (строк) товару, запропонованого Учасником повинен становити не менше 12 місяців, а також він повинен бути новим, та таким, що раніше не експлуатувався та не використовувався.</w:t>
      </w:r>
    </w:p>
    <w:p w14:paraId="1CF9D00F" w14:textId="77777777" w:rsidR="00435B3B" w:rsidRPr="00380C59" w:rsidRDefault="00435B3B" w:rsidP="00435B3B">
      <w:pPr>
        <w:tabs>
          <w:tab w:val="left" w:pos="28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C59">
        <w:rPr>
          <w:rFonts w:ascii="Times New Roman" w:hAnsi="Times New Roman" w:cs="Times New Roman"/>
          <w:i/>
          <w:sz w:val="24"/>
          <w:szCs w:val="24"/>
        </w:rPr>
        <w:t>На підтвердження Учасник повинен надати оригінал листа в якому він повинен зазначити гарантійний термін (строк), запропонованого ним товару та відповідність іншим вимогам зазначеним в даному пункті.</w:t>
      </w:r>
    </w:p>
    <w:p w14:paraId="36AF7F67" w14:textId="77777777" w:rsidR="00435B3B" w:rsidRPr="00380C59" w:rsidRDefault="00435B3B" w:rsidP="00435B3B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 xml:space="preserve"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14:paraId="05B775DA" w14:textId="77777777" w:rsidR="00435B3B" w:rsidRPr="00380C59" w:rsidRDefault="00435B3B" w:rsidP="00435B3B">
      <w:pPr>
        <w:tabs>
          <w:tab w:val="left" w:pos="284"/>
        </w:tabs>
        <w:spacing w:after="0" w:line="240" w:lineRule="auto"/>
        <w:ind w:left="-28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C59">
        <w:rPr>
          <w:rFonts w:ascii="Times New Roman" w:hAnsi="Times New Roman" w:cs="Times New Roman"/>
          <w:i/>
          <w:sz w:val="24"/>
          <w:szCs w:val="24"/>
        </w:rPr>
        <w:t xml:space="preserve">На підтвердження Учасник повинен надати оригінал листа виробника (представництва, філії виробника – якщо їх відповідні повноваження поширюються на територію України), або представника, дилера, дистриб'ютора, офіційно уповноваженого на це виробником, яким підтверджується можливість поставки Учасником товару, який є предметом даної процедури закупівлі, у кількості, та в терміни, визначені цією Документацією та пропозицією Учасника. </w:t>
      </w:r>
      <w:r w:rsidRPr="00380C59">
        <w:rPr>
          <w:rFonts w:ascii="Times New Roman" w:hAnsi="Times New Roman" w:cs="Times New Roman"/>
          <w:bCs/>
          <w:i/>
          <w:sz w:val="24"/>
          <w:szCs w:val="24"/>
        </w:rPr>
        <w:t>Лист повинен включати в себе: назву Учасника, номер оголошення, а також назву предмета закупівлі.</w:t>
      </w:r>
    </w:p>
    <w:p w14:paraId="7FE68E1A" w14:textId="77777777" w:rsidR="00957EF6" w:rsidRPr="00435B3B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sectPr w:rsidR="00957EF6" w:rsidRPr="00435B3B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  <w:num w:numId="9" w16cid:durableId="1205101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A330E"/>
    <w:rsid w:val="000C06FB"/>
    <w:rsid w:val="000E1E92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435B3B"/>
    <w:rsid w:val="004A30FE"/>
    <w:rsid w:val="004C3B2C"/>
    <w:rsid w:val="0050382F"/>
    <w:rsid w:val="006C40B9"/>
    <w:rsid w:val="006C48D5"/>
    <w:rsid w:val="006D5B97"/>
    <w:rsid w:val="006F1E44"/>
    <w:rsid w:val="00704330"/>
    <w:rsid w:val="00715FCA"/>
    <w:rsid w:val="00716592"/>
    <w:rsid w:val="00747E62"/>
    <w:rsid w:val="00761238"/>
    <w:rsid w:val="00784B76"/>
    <w:rsid w:val="00957EF6"/>
    <w:rsid w:val="009A0F44"/>
    <w:rsid w:val="00A510C3"/>
    <w:rsid w:val="00B17852"/>
    <w:rsid w:val="00CF159E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2025-09-17T06:47:00Z</cp:lastPrinted>
  <dcterms:created xsi:type="dcterms:W3CDTF">2025-09-17T06:48:00Z</dcterms:created>
  <dcterms:modified xsi:type="dcterms:W3CDTF">2025-11-14T09:28:00Z</dcterms:modified>
</cp:coreProperties>
</file>