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4651A80E" w:rsidR="00F76876" w:rsidRPr="00EB64E4" w:rsidRDefault="00AE34CB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30</w:t>
      </w:r>
      <w:r w:rsidR="008978A0">
        <w:rPr>
          <w:rFonts w:ascii="Times New Roman" w:eastAsia="Times New Roman" w:hAnsi="Times New Roman"/>
          <w:b/>
          <w:sz w:val="24"/>
          <w:szCs w:val="24"/>
          <w:lang w:val="uk-UA"/>
        </w:rPr>
        <w:t>.03</w:t>
      </w:r>
      <w:r w:rsidR="00A9793C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202</w:t>
      </w:r>
      <w:r w:rsidR="00D44328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43533A75" w14:textId="77777777" w:rsidR="00AE34CB" w:rsidRPr="00AE34CB" w:rsidRDefault="00F76876" w:rsidP="00AE34C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lang w:val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  <w:r w:rsidR="00A9793C"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  <w:t xml:space="preserve"> </w:t>
      </w:r>
      <w:proofErr w:type="spellStart"/>
      <w:r w:rsidR="00AE34CB" w:rsidRPr="00AE34CB">
        <w:rPr>
          <w:rFonts w:ascii="Times New Roman" w:eastAsia="Times New Roman" w:hAnsi="Times New Roman" w:cs="Times New Roman"/>
          <w:bCs/>
          <w:color w:val="000000"/>
          <w:lang w:val="uk-UA"/>
        </w:rPr>
        <w:t>Нормалізатор</w:t>
      </w:r>
      <w:proofErr w:type="spellEnd"/>
      <w:r w:rsidR="00AE34CB" w:rsidRPr="00AE34CB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напруги мережевий,  </w:t>
      </w:r>
    </w:p>
    <w:p w14:paraId="02D18C38" w14:textId="0C9ABCFB" w:rsidR="008978A0" w:rsidRDefault="00AE34CB" w:rsidP="00AE34C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lang w:val="uk-UA"/>
        </w:rPr>
      </w:pPr>
      <w:r w:rsidRPr="00AE34CB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Код ДК 021:2015 : ДК 021: 2015 31210000-1 Електрична апаратура для </w:t>
      </w:r>
      <w:proofErr w:type="spellStart"/>
      <w:r w:rsidRPr="00AE34CB">
        <w:rPr>
          <w:rFonts w:ascii="Times New Roman" w:eastAsia="Times New Roman" w:hAnsi="Times New Roman" w:cs="Times New Roman"/>
          <w:bCs/>
          <w:color w:val="000000"/>
          <w:lang w:val="uk-UA"/>
        </w:rPr>
        <w:t>комутування</w:t>
      </w:r>
      <w:proofErr w:type="spellEnd"/>
      <w:r w:rsidRPr="00AE34CB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та захисту електричних кіл</w:t>
      </w:r>
      <w:r>
        <w:rPr>
          <w:rFonts w:ascii="Times New Roman" w:eastAsia="Times New Roman" w:hAnsi="Times New Roman" w:cs="Times New Roman"/>
          <w:bCs/>
          <w:color w:val="000000"/>
          <w:lang w:val="uk-UA"/>
        </w:rPr>
        <w:t>.</w:t>
      </w:r>
    </w:p>
    <w:p w14:paraId="59661EC6" w14:textId="77777777" w:rsidR="00AE34CB" w:rsidRPr="00AE34CB" w:rsidRDefault="00AE34CB" w:rsidP="00AE34C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0558BB2F" w14:textId="71CE787C" w:rsidR="00A9793C" w:rsidRDefault="00F76876" w:rsidP="00A9793C">
      <w:pPr>
        <w:spacing w:after="0" w:line="240" w:lineRule="auto"/>
        <w:ind w:left="-993"/>
        <w:jc w:val="both"/>
        <w:rPr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</w:p>
    <w:p w14:paraId="59A823FC" w14:textId="4AB53E42" w:rsidR="008978A0" w:rsidRDefault="00AE34CB" w:rsidP="00A9793C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AE34CB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UA-2026-03-30-006338-a</w:t>
      </w:r>
    </w:p>
    <w:p w14:paraId="2505DBDC" w14:textId="77777777" w:rsidR="008978A0" w:rsidRPr="008978A0" w:rsidRDefault="008978A0" w:rsidP="00A9793C">
      <w:pPr>
        <w:spacing w:after="0" w:line="240" w:lineRule="auto"/>
        <w:ind w:left="-993"/>
        <w:jc w:val="both"/>
        <w:rPr>
          <w:lang w:val="uk-UA"/>
        </w:rPr>
      </w:pPr>
    </w:p>
    <w:p w14:paraId="022A1984" w14:textId="494EFE0F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191CADB2" w14:textId="0267FC88" w:rsidR="008978A0" w:rsidRDefault="00AE34CB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163 480,00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сто </w:t>
      </w:r>
      <w:proofErr w:type="spellStart"/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 </w:t>
      </w:r>
      <w:proofErr w:type="spellStart"/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тисячі</w:t>
      </w:r>
      <w:proofErr w:type="spellEnd"/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чотириста</w:t>
      </w:r>
      <w:proofErr w:type="spellEnd"/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вісімдесят</w:t>
      </w:r>
      <w:proofErr w:type="spellEnd"/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гривень 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0</w:t>
      </w:r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, у т.ч. ПДВ (20%) 27246.67 </w:t>
      </w:r>
      <w:proofErr w:type="gramStart"/>
      <w:r w:rsidRPr="00AE34C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грн.</w:t>
      </w:r>
      <w:r w:rsidR="008978A0"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.</w:t>
      </w:r>
      <w:proofErr w:type="gramEnd"/>
    </w:p>
    <w:p w14:paraId="51CB52D0" w14:textId="48DB1E0D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  <w:r w:rsidR="00637A29">
        <w:rPr>
          <w:rFonts w:ascii="Times New Roman" w:hAnsi="Times New Roman"/>
          <w:sz w:val="24"/>
          <w:szCs w:val="24"/>
          <w:lang w:val="uk-UA"/>
        </w:rPr>
        <w:t>.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61A7FD" w14:textId="6019F3E2" w:rsidR="00170C4E" w:rsidRDefault="00F76876" w:rsidP="00F54F56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="00936F59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поставка </w:t>
      </w:r>
      <w:proofErr w:type="gramStart"/>
      <w:r w:rsidR="00936F59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товару</w:t>
      </w:r>
      <w:r w:rsidR="00AE34CB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 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proofErr w:type="gramEnd"/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AE34CB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D44328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>6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6308C8A8" w14:textId="77777777" w:rsidR="00F54F56" w:rsidRPr="00F54F56" w:rsidRDefault="00F54F56" w:rsidP="00F54F56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614B5C87" w14:textId="547EBD75" w:rsidR="00D113A7" w:rsidRDefault="00261511" w:rsidP="00F54F56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14:paraId="687C2105" w14:textId="77777777" w:rsidR="00E25C86" w:rsidRDefault="00E25C86" w:rsidP="00E25C8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</w:p>
    <w:p w14:paraId="2CBBAA18" w14:textId="3AC7B92E" w:rsidR="00936F59" w:rsidRPr="00936F59" w:rsidRDefault="00936F59" w:rsidP="00936F59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>
        <w:rPr>
          <w:kern w:val="32"/>
          <w:sz w:val="24"/>
          <w:szCs w:val="24"/>
        </w:rPr>
        <w:lastRenderedPageBreak/>
        <w:t>З</w:t>
      </w:r>
      <w:r w:rsidRPr="00936F59">
        <w:rPr>
          <w:kern w:val="32"/>
          <w:sz w:val="24"/>
          <w:szCs w:val="24"/>
        </w:rPr>
        <w:t>амовник здійснює закупівлю цього виду товару, оскільки він за своїми</w:t>
      </w:r>
      <w:r>
        <w:rPr>
          <w:kern w:val="32"/>
          <w:sz w:val="24"/>
          <w:szCs w:val="24"/>
        </w:rPr>
        <w:t xml:space="preserve"> </w:t>
      </w:r>
      <w:r w:rsidRPr="00936F59">
        <w:rPr>
          <w:kern w:val="32"/>
          <w:sz w:val="24"/>
          <w:szCs w:val="24"/>
        </w:rPr>
        <w:t>якісними та технічними характеристиками найбільше відповідатиме вимогам та потребам замовника.</w:t>
      </w:r>
      <w:r>
        <w:rPr>
          <w:kern w:val="32"/>
          <w:sz w:val="24"/>
          <w:szCs w:val="24"/>
        </w:rPr>
        <w:t xml:space="preserve"> </w:t>
      </w:r>
      <w:r w:rsidRPr="00936F59">
        <w:rPr>
          <w:kern w:val="32"/>
          <w:sz w:val="24"/>
          <w:szCs w:val="24"/>
        </w:rPr>
        <w:t>Технічні та якісні характеристики товару повинні відповідати чинним нормативним актам (державним</w:t>
      </w:r>
      <w:r>
        <w:rPr>
          <w:kern w:val="32"/>
          <w:sz w:val="24"/>
          <w:szCs w:val="24"/>
        </w:rPr>
        <w:t xml:space="preserve"> </w:t>
      </w:r>
      <w:r w:rsidRPr="00936F59">
        <w:rPr>
          <w:kern w:val="32"/>
          <w:sz w:val="24"/>
          <w:szCs w:val="24"/>
        </w:rPr>
        <w:t>стандартам / технічним умовам / нормам). Якість товару повинна відповідати умовам / вимогам, встановленим</w:t>
      </w:r>
      <w:r>
        <w:rPr>
          <w:kern w:val="32"/>
          <w:sz w:val="24"/>
          <w:szCs w:val="24"/>
        </w:rPr>
        <w:t xml:space="preserve"> </w:t>
      </w:r>
      <w:r w:rsidRPr="00936F59">
        <w:rPr>
          <w:kern w:val="32"/>
          <w:sz w:val="24"/>
          <w:szCs w:val="24"/>
        </w:rPr>
        <w:t>чинним законодавством України для цієї категорії товару.</w:t>
      </w:r>
      <w:r>
        <w:rPr>
          <w:kern w:val="32"/>
          <w:sz w:val="24"/>
          <w:szCs w:val="24"/>
        </w:rPr>
        <w:t xml:space="preserve"> </w:t>
      </w:r>
      <w:r w:rsidRPr="00936F59">
        <w:rPr>
          <w:kern w:val="32"/>
          <w:sz w:val="24"/>
          <w:szCs w:val="24"/>
        </w:rPr>
        <w:t>Кількість та строк постачання визначено відповідно до потреби замовника.</w:t>
      </w:r>
    </w:p>
    <w:p w14:paraId="26B3D0F8" w14:textId="65B96845" w:rsidR="006F3106" w:rsidRPr="006F3106" w:rsidRDefault="006F3106" w:rsidP="006F310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  <w:lang/>
        </w:rPr>
      </w:pPr>
      <w:r w:rsidRPr="006F3106">
        <w:rPr>
          <w:kern w:val="32"/>
          <w:sz w:val="24"/>
          <w:szCs w:val="24"/>
          <w:lang/>
        </w:rPr>
        <w:t>Якісні та технічні характеристики заявленої кількості визначені з урахуванням реальних потреб</w:t>
      </w:r>
      <w:r>
        <w:rPr>
          <w:kern w:val="32"/>
          <w:sz w:val="24"/>
          <w:szCs w:val="24"/>
        </w:rPr>
        <w:t xml:space="preserve"> </w:t>
      </w:r>
      <w:r w:rsidRPr="006F3106">
        <w:rPr>
          <w:kern w:val="32"/>
          <w:sz w:val="24"/>
          <w:szCs w:val="24"/>
          <w:lang/>
        </w:rPr>
        <w:t xml:space="preserve">підприємства та оптимального співвідношення ціни та якості. </w:t>
      </w:r>
    </w:p>
    <w:p w14:paraId="5B647CB4" w14:textId="77777777" w:rsidR="006F3106" w:rsidRPr="006F3106" w:rsidRDefault="006F3106" w:rsidP="006F310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  <w:lang/>
        </w:rPr>
      </w:pPr>
      <w:r w:rsidRPr="006F3106">
        <w:rPr>
          <w:kern w:val="32"/>
          <w:sz w:val="24"/>
          <w:szCs w:val="24"/>
          <w:lang/>
        </w:rPr>
        <w:t>Враховуючи зазначене, замовник прийняв рішення стосовно застосування таких технічних та якісних</w:t>
      </w:r>
    </w:p>
    <w:p w14:paraId="562DFD4C" w14:textId="3910F196" w:rsidR="00936F59" w:rsidRDefault="006F3106" w:rsidP="006F310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 w:rsidRPr="006F3106">
        <w:rPr>
          <w:kern w:val="32"/>
          <w:sz w:val="24"/>
          <w:szCs w:val="24"/>
          <w:lang/>
        </w:rPr>
        <w:t>характеристик предмета закупівлі: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985"/>
        <w:gridCol w:w="2221"/>
      </w:tblGrid>
      <w:tr w:rsidR="006F3106" w:rsidRPr="006F3106" w14:paraId="5E70275D" w14:textId="77777777" w:rsidTr="006F3106">
        <w:tc>
          <w:tcPr>
            <w:tcW w:w="426" w:type="dxa"/>
            <w:shd w:val="clear" w:color="auto" w:fill="auto"/>
          </w:tcPr>
          <w:p w14:paraId="48F6E94F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43615204" w14:textId="77777777" w:rsidR="006F3106" w:rsidRPr="006F3106" w:rsidRDefault="006F3106" w:rsidP="00BE465D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Нормалізатор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напруги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має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забезпечувати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захист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від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перевищення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номінального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навантаження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апарат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при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цьому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запис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цієї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інформації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має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здійснюватися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пам’ять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мікроконтролера</w:t>
            </w:r>
            <w:proofErr w:type="spellEnd"/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21" w:type="dxa"/>
            <w:shd w:val="clear" w:color="auto" w:fill="auto"/>
          </w:tcPr>
          <w:p w14:paraId="079446E3" w14:textId="77777777" w:rsidR="006F3106" w:rsidRPr="006F3106" w:rsidRDefault="006F3106" w:rsidP="00BE465D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106">
              <w:rPr>
                <w:rFonts w:ascii="Times New Roman" w:hAnsi="Times New Roman" w:cs="Times New Roman"/>
                <w:bCs/>
                <w:sz w:val="20"/>
                <w:szCs w:val="20"/>
              </w:rPr>
              <w:t>так</w:t>
            </w:r>
          </w:p>
        </w:tc>
      </w:tr>
      <w:tr w:rsidR="006F3106" w:rsidRPr="006F3106" w14:paraId="0173E837" w14:textId="77777777" w:rsidTr="006F3106">
        <w:tc>
          <w:tcPr>
            <w:tcW w:w="426" w:type="dxa"/>
            <w:shd w:val="clear" w:color="auto" w:fill="auto"/>
          </w:tcPr>
          <w:p w14:paraId="0FA2FDC5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7AEE2004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Кількість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ступенів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регулювання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:</w:t>
            </w:r>
          </w:p>
          <w:p w14:paraId="1C4F352A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25B73B8A" w14:textId="77777777" w:rsidR="006F3106" w:rsidRPr="006F3106" w:rsidRDefault="006F3106" w:rsidP="00BE46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0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F3106" w:rsidRPr="006F3106" w14:paraId="13F12F82" w14:textId="77777777" w:rsidTr="006F3106">
        <w:tc>
          <w:tcPr>
            <w:tcW w:w="426" w:type="dxa"/>
            <w:shd w:val="clear" w:color="auto" w:fill="auto"/>
          </w:tcPr>
          <w:p w14:paraId="56A0399B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5BCECEEB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Номінальний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струм, </w:t>
            </w:r>
            <w:proofErr w:type="gram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  <w:proofErr w:type="gram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221" w:type="dxa"/>
            <w:shd w:val="clear" w:color="auto" w:fill="auto"/>
          </w:tcPr>
          <w:p w14:paraId="27E4E9FC" w14:textId="77777777" w:rsidR="006F3106" w:rsidRPr="006F3106" w:rsidRDefault="006F3106" w:rsidP="00BE46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0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6F3106" w:rsidRPr="006F3106" w14:paraId="398D5589" w14:textId="77777777" w:rsidTr="006F3106">
        <w:tc>
          <w:tcPr>
            <w:tcW w:w="426" w:type="dxa"/>
            <w:shd w:val="clear" w:color="auto" w:fill="auto"/>
          </w:tcPr>
          <w:p w14:paraId="26B8423B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05D18729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Система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охолодження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:</w:t>
            </w:r>
          </w:p>
        </w:tc>
        <w:tc>
          <w:tcPr>
            <w:tcW w:w="2221" w:type="dxa"/>
            <w:shd w:val="clear" w:color="auto" w:fill="auto"/>
          </w:tcPr>
          <w:p w14:paraId="523AEC70" w14:textId="77777777" w:rsidR="006F3106" w:rsidRPr="006F3106" w:rsidRDefault="006F3106" w:rsidP="00BE46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06">
              <w:rPr>
                <w:rFonts w:ascii="Times New Roman" w:hAnsi="Times New Roman" w:cs="Times New Roman"/>
                <w:sz w:val="20"/>
                <w:szCs w:val="20"/>
              </w:rPr>
              <w:t>активна</w:t>
            </w:r>
          </w:p>
        </w:tc>
      </w:tr>
      <w:tr w:rsidR="006F3106" w:rsidRPr="006F3106" w14:paraId="1EC4B782" w14:textId="77777777" w:rsidTr="006F3106">
        <w:tc>
          <w:tcPr>
            <w:tcW w:w="426" w:type="dxa"/>
            <w:shd w:val="clear" w:color="auto" w:fill="auto"/>
          </w:tcPr>
          <w:p w14:paraId="7E17423B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5D54CCFD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Номінальна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потужність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при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Uвх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=220</w:t>
            </w:r>
          </w:p>
        </w:tc>
        <w:tc>
          <w:tcPr>
            <w:tcW w:w="2221" w:type="dxa"/>
            <w:shd w:val="clear" w:color="auto" w:fill="auto"/>
          </w:tcPr>
          <w:p w14:paraId="1948F3FC" w14:textId="77777777" w:rsidR="006F3106" w:rsidRPr="006F3106" w:rsidRDefault="006F3106" w:rsidP="00BE46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06">
              <w:rPr>
                <w:rFonts w:ascii="Times New Roman" w:hAnsi="Times New Roman" w:cs="Times New Roman"/>
                <w:sz w:val="20"/>
                <w:szCs w:val="20"/>
              </w:rPr>
              <w:t>14кВт</w:t>
            </w:r>
          </w:p>
        </w:tc>
      </w:tr>
      <w:tr w:rsidR="006F3106" w:rsidRPr="006F3106" w14:paraId="7A846A3B" w14:textId="77777777" w:rsidTr="006F3106">
        <w:tc>
          <w:tcPr>
            <w:tcW w:w="426" w:type="dxa"/>
            <w:shd w:val="clear" w:color="auto" w:fill="auto"/>
          </w:tcPr>
          <w:p w14:paraId="7BC0A919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29243119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Cилові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ключі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221" w:type="dxa"/>
            <w:shd w:val="clear" w:color="auto" w:fill="auto"/>
          </w:tcPr>
          <w:p w14:paraId="6C7C6039" w14:textId="77777777" w:rsidR="006F3106" w:rsidRPr="006F3106" w:rsidRDefault="006F3106" w:rsidP="00BE46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06">
              <w:rPr>
                <w:rFonts w:ascii="Times New Roman" w:hAnsi="Times New Roman" w:cs="Times New Roman"/>
                <w:sz w:val="20"/>
                <w:szCs w:val="20"/>
              </w:rPr>
              <w:t>тиристор</w:t>
            </w:r>
          </w:p>
        </w:tc>
      </w:tr>
      <w:tr w:rsidR="006F3106" w:rsidRPr="006F3106" w14:paraId="504ACDE5" w14:textId="77777777" w:rsidTr="006F3106">
        <w:tc>
          <w:tcPr>
            <w:tcW w:w="426" w:type="dxa"/>
            <w:shd w:val="clear" w:color="auto" w:fill="auto"/>
          </w:tcPr>
          <w:p w14:paraId="44EC5FA1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3B1D899E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Робочий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діапазон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вхідних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напруг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:</w:t>
            </w: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ab/>
            </w:r>
          </w:p>
        </w:tc>
        <w:tc>
          <w:tcPr>
            <w:tcW w:w="2221" w:type="dxa"/>
            <w:shd w:val="clear" w:color="auto" w:fill="auto"/>
          </w:tcPr>
          <w:p w14:paraId="77353BFA" w14:textId="77777777" w:rsidR="006F3106" w:rsidRPr="006F3106" w:rsidRDefault="006F3106" w:rsidP="00BE46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60-400В</w:t>
            </w:r>
          </w:p>
        </w:tc>
      </w:tr>
      <w:tr w:rsidR="006F3106" w:rsidRPr="006F3106" w14:paraId="50C3EEFB" w14:textId="77777777" w:rsidTr="006F3106">
        <w:tc>
          <w:tcPr>
            <w:tcW w:w="426" w:type="dxa"/>
            <w:shd w:val="clear" w:color="auto" w:fill="auto"/>
          </w:tcPr>
          <w:p w14:paraId="60C9AF91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346144AA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Робочий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діапазон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температур:</w:t>
            </w:r>
          </w:p>
        </w:tc>
        <w:tc>
          <w:tcPr>
            <w:tcW w:w="2221" w:type="dxa"/>
            <w:shd w:val="clear" w:color="auto" w:fill="auto"/>
          </w:tcPr>
          <w:p w14:paraId="1293F252" w14:textId="77777777" w:rsidR="006F3106" w:rsidRPr="006F3106" w:rsidRDefault="006F3106" w:rsidP="00BE46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0..+</w:t>
            </w:r>
            <w:proofErr w:type="gram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40С</w:t>
            </w:r>
          </w:p>
        </w:tc>
      </w:tr>
      <w:tr w:rsidR="006F3106" w:rsidRPr="006F3106" w14:paraId="77872038" w14:textId="77777777" w:rsidTr="006F3106">
        <w:tc>
          <w:tcPr>
            <w:tcW w:w="426" w:type="dxa"/>
            <w:shd w:val="clear" w:color="auto" w:fill="auto"/>
          </w:tcPr>
          <w:p w14:paraId="07B4000F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1F72F001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Робота при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відносній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вологості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:</w:t>
            </w: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ab/>
            </w:r>
          </w:p>
        </w:tc>
        <w:tc>
          <w:tcPr>
            <w:tcW w:w="2221" w:type="dxa"/>
            <w:shd w:val="clear" w:color="auto" w:fill="auto"/>
          </w:tcPr>
          <w:p w14:paraId="176E24D1" w14:textId="77777777" w:rsidR="006F3106" w:rsidRPr="006F3106" w:rsidRDefault="006F3106" w:rsidP="00BE465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не более 80% при 25С</w:t>
            </w:r>
          </w:p>
        </w:tc>
      </w:tr>
      <w:tr w:rsidR="006F3106" w:rsidRPr="006F3106" w14:paraId="62AB7541" w14:textId="77777777" w:rsidTr="006F3106">
        <w:tc>
          <w:tcPr>
            <w:tcW w:w="426" w:type="dxa"/>
            <w:shd w:val="clear" w:color="auto" w:fill="auto"/>
          </w:tcPr>
          <w:p w14:paraId="15EBEA53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16892DE0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Діапазон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стабілізації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221" w:type="dxa"/>
            <w:shd w:val="clear" w:color="auto" w:fill="auto"/>
          </w:tcPr>
          <w:p w14:paraId="27B194F0" w14:textId="77777777" w:rsidR="006F3106" w:rsidRPr="006F3106" w:rsidRDefault="006F3106" w:rsidP="00BE465D">
            <w:pPr>
              <w:spacing w:line="24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115-280В</w:t>
            </w:r>
          </w:p>
        </w:tc>
      </w:tr>
      <w:tr w:rsidR="006F3106" w:rsidRPr="006F3106" w14:paraId="095A15F6" w14:textId="77777777" w:rsidTr="006F3106">
        <w:tc>
          <w:tcPr>
            <w:tcW w:w="426" w:type="dxa"/>
            <w:shd w:val="clear" w:color="auto" w:fill="auto"/>
          </w:tcPr>
          <w:p w14:paraId="66BE360C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2A2C58BB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Максимальне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відхилення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вихідної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напруги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від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номінального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:</w:t>
            </w:r>
          </w:p>
        </w:tc>
        <w:tc>
          <w:tcPr>
            <w:tcW w:w="2221" w:type="dxa"/>
            <w:shd w:val="clear" w:color="auto" w:fill="auto"/>
          </w:tcPr>
          <w:p w14:paraId="0254C6C5" w14:textId="77777777" w:rsidR="006F3106" w:rsidRPr="006F3106" w:rsidRDefault="006F3106" w:rsidP="00BE465D">
            <w:pPr>
              <w:spacing w:after="60" w:line="24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2%</w:t>
            </w:r>
          </w:p>
        </w:tc>
      </w:tr>
      <w:tr w:rsidR="006F3106" w:rsidRPr="006F3106" w14:paraId="40EAE6CB" w14:textId="77777777" w:rsidTr="006F3106">
        <w:tc>
          <w:tcPr>
            <w:tcW w:w="426" w:type="dxa"/>
            <w:shd w:val="clear" w:color="auto" w:fill="auto"/>
          </w:tcPr>
          <w:p w14:paraId="60094028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5DEF1B6E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Спотворення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форми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напруги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221" w:type="dxa"/>
            <w:shd w:val="clear" w:color="auto" w:fill="auto"/>
          </w:tcPr>
          <w:p w14:paraId="38FC44DF" w14:textId="77777777" w:rsidR="006F3106" w:rsidRPr="006F3106" w:rsidRDefault="006F3106" w:rsidP="00BE465D">
            <w:pPr>
              <w:spacing w:after="60" w:line="24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Відсутнє</w:t>
            </w:r>
            <w:proofErr w:type="spellEnd"/>
          </w:p>
        </w:tc>
      </w:tr>
      <w:tr w:rsidR="006F3106" w:rsidRPr="006F3106" w14:paraId="651E6EBF" w14:textId="77777777" w:rsidTr="006F3106">
        <w:tc>
          <w:tcPr>
            <w:tcW w:w="426" w:type="dxa"/>
            <w:shd w:val="clear" w:color="auto" w:fill="auto"/>
          </w:tcPr>
          <w:p w14:paraId="0EA4D40A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64673263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Мінімальна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вхідна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напруга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відключення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Umin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):</w:t>
            </w:r>
          </w:p>
        </w:tc>
        <w:tc>
          <w:tcPr>
            <w:tcW w:w="2221" w:type="dxa"/>
            <w:shd w:val="clear" w:color="auto" w:fill="auto"/>
          </w:tcPr>
          <w:p w14:paraId="6604E6FD" w14:textId="77777777" w:rsidR="006F3106" w:rsidRPr="006F3106" w:rsidRDefault="006F3106" w:rsidP="00BE465D">
            <w:pPr>
              <w:spacing w:after="60" w:line="24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80В</w:t>
            </w:r>
          </w:p>
        </w:tc>
      </w:tr>
      <w:tr w:rsidR="006F3106" w:rsidRPr="006F3106" w14:paraId="7E1EE03F" w14:textId="77777777" w:rsidTr="006F3106">
        <w:tc>
          <w:tcPr>
            <w:tcW w:w="426" w:type="dxa"/>
            <w:shd w:val="clear" w:color="auto" w:fill="auto"/>
          </w:tcPr>
          <w:p w14:paraId="5B8B725F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0FAF9050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Максимальна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вхідна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напруга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відключення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(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Umax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2221" w:type="dxa"/>
            <w:shd w:val="clear" w:color="auto" w:fill="auto"/>
          </w:tcPr>
          <w:p w14:paraId="5D4012D2" w14:textId="77777777" w:rsidR="006F3106" w:rsidRPr="006F3106" w:rsidRDefault="006F3106" w:rsidP="00BE465D">
            <w:pPr>
              <w:spacing w:after="60" w:line="24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310В</w:t>
            </w:r>
          </w:p>
        </w:tc>
      </w:tr>
      <w:tr w:rsidR="006F3106" w:rsidRPr="006F3106" w14:paraId="098C074B" w14:textId="77777777" w:rsidTr="006F3106">
        <w:tc>
          <w:tcPr>
            <w:tcW w:w="426" w:type="dxa"/>
            <w:shd w:val="clear" w:color="auto" w:fill="auto"/>
          </w:tcPr>
          <w:p w14:paraId="018DC88D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37537FD9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Максимальне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перевищення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номінальної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потужності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протягом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5 сек:</w:t>
            </w:r>
          </w:p>
        </w:tc>
        <w:tc>
          <w:tcPr>
            <w:tcW w:w="2221" w:type="dxa"/>
            <w:shd w:val="clear" w:color="auto" w:fill="auto"/>
          </w:tcPr>
          <w:p w14:paraId="195C6B45" w14:textId="77777777" w:rsidR="006F3106" w:rsidRPr="006F3106" w:rsidRDefault="006F3106" w:rsidP="00BE465D">
            <w:pPr>
              <w:spacing w:after="60" w:line="24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20%</w:t>
            </w:r>
          </w:p>
        </w:tc>
      </w:tr>
      <w:tr w:rsidR="006F3106" w:rsidRPr="006F3106" w14:paraId="7CD2E3AB" w14:textId="77777777" w:rsidTr="006F3106">
        <w:tc>
          <w:tcPr>
            <w:tcW w:w="426" w:type="dxa"/>
            <w:shd w:val="clear" w:color="auto" w:fill="auto"/>
          </w:tcPr>
          <w:p w14:paraId="5C0077D3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1901C09B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Максимальне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перевищення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номінальної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потужності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протягом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0,5сек:</w:t>
            </w:r>
          </w:p>
        </w:tc>
        <w:tc>
          <w:tcPr>
            <w:tcW w:w="2221" w:type="dxa"/>
            <w:shd w:val="clear" w:color="auto" w:fill="auto"/>
          </w:tcPr>
          <w:p w14:paraId="7346C3CF" w14:textId="77777777" w:rsidR="006F3106" w:rsidRPr="006F3106" w:rsidRDefault="006F3106" w:rsidP="00BE465D">
            <w:pPr>
              <w:spacing w:after="60" w:line="24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  <w:lang w:val="en-US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50%</w:t>
            </w:r>
          </w:p>
        </w:tc>
      </w:tr>
      <w:tr w:rsidR="006F3106" w:rsidRPr="006F3106" w14:paraId="38BFB479" w14:textId="77777777" w:rsidTr="006F3106">
        <w:tc>
          <w:tcPr>
            <w:tcW w:w="426" w:type="dxa"/>
            <w:shd w:val="clear" w:color="auto" w:fill="auto"/>
          </w:tcPr>
          <w:p w14:paraId="4175008C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40A2C437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Тривалість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дії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електронного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захисту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від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перевищення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номінальної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потужності</w:t>
            </w:r>
            <w:proofErr w:type="spellEnd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:</w:t>
            </w:r>
          </w:p>
        </w:tc>
        <w:tc>
          <w:tcPr>
            <w:tcW w:w="2221" w:type="dxa"/>
            <w:shd w:val="clear" w:color="auto" w:fill="auto"/>
          </w:tcPr>
          <w:p w14:paraId="3F4E4527" w14:textId="77777777" w:rsidR="006F3106" w:rsidRPr="006F3106" w:rsidRDefault="006F3106" w:rsidP="00BE465D">
            <w:pPr>
              <w:spacing w:after="60" w:line="24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60 сек</w:t>
            </w:r>
          </w:p>
        </w:tc>
      </w:tr>
      <w:tr w:rsidR="006F3106" w:rsidRPr="006F3106" w14:paraId="27B51BE6" w14:textId="77777777" w:rsidTr="006F3106">
        <w:tc>
          <w:tcPr>
            <w:tcW w:w="426" w:type="dxa"/>
            <w:shd w:val="clear" w:color="auto" w:fill="auto"/>
          </w:tcPr>
          <w:p w14:paraId="2D7B4E7D" w14:textId="77777777" w:rsidR="006F3106" w:rsidRPr="006F3106" w:rsidRDefault="006F3106" w:rsidP="006F3106">
            <w:pPr>
              <w:numPr>
                <w:ilvl w:val="0"/>
                <w:numId w:val="13"/>
              </w:numPr>
              <w:suppressAutoHyphens/>
              <w:spacing w:after="60" w:line="240" w:lineRule="atLeast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5" w:type="dxa"/>
            <w:shd w:val="clear" w:color="auto" w:fill="auto"/>
          </w:tcPr>
          <w:p w14:paraId="6E7EE4A7" w14:textId="77777777" w:rsidR="006F3106" w:rsidRPr="006F3106" w:rsidRDefault="006F3106" w:rsidP="00BE465D">
            <w:pPr>
              <w:spacing w:after="6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Тип автотрансформатора:</w:t>
            </w:r>
          </w:p>
        </w:tc>
        <w:tc>
          <w:tcPr>
            <w:tcW w:w="2221" w:type="dxa"/>
            <w:shd w:val="clear" w:color="auto" w:fill="auto"/>
          </w:tcPr>
          <w:p w14:paraId="1516D34E" w14:textId="77777777" w:rsidR="006F3106" w:rsidRPr="006F3106" w:rsidRDefault="006F3106" w:rsidP="00BE465D">
            <w:pPr>
              <w:spacing w:after="60" w:line="24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proofErr w:type="spellStart"/>
            <w:r w:rsidRPr="006F31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тороїдальний</w:t>
            </w:r>
            <w:proofErr w:type="spellEnd"/>
          </w:p>
        </w:tc>
      </w:tr>
    </w:tbl>
    <w:p w14:paraId="549E613F" w14:textId="77777777" w:rsidR="006F3106" w:rsidRPr="006F3106" w:rsidRDefault="006F3106" w:rsidP="006F310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</w:p>
    <w:sectPr w:rsidR="006F3106" w:rsidRPr="006F3106" w:rsidSect="008978A0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5079077C"/>
    <w:multiLevelType w:val="hybridMultilevel"/>
    <w:tmpl w:val="9B0ED716"/>
    <w:lvl w:ilvl="0" w:tplc="C4EE9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1017"/>
    <w:multiLevelType w:val="hybridMultilevel"/>
    <w:tmpl w:val="D7AA15AC"/>
    <w:lvl w:ilvl="0" w:tplc="3CB2C4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459E7"/>
    <w:multiLevelType w:val="hybridMultilevel"/>
    <w:tmpl w:val="8654CA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1830">
    <w:abstractNumId w:val="1"/>
  </w:num>
  <w:num w:numId="2" w16cid:durableId="406389138">
    <w:abstractNumId w:val="5"/>
  </w:num>
  <w:num w:numId="3" w16cid:durableId="110128918">
    <w:abstractNumId w:val="3"/>
  </w:num>
  <w:num w:numId="4" w16cid:durableId="1380323585">
    <w:abstractNumId w:val="6"/>
  </w:num>
  <w:num w:numId="5" w16cid:durableId="577250455">
    <w:abstractNumId w:val="7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8"/>
  </w:num>
  <w:num w:numId="9" w16cid:durableId="1205101328">
    <w:abstractNumId w:val="12"/>
  </w:num>
  <w:num w:numId="10" w16cid:durableId="1466047365">
    <w:abstractNumId w:val="9"/>
  </w:num>
  <w:num w:numId="11" w16cid:durableId="1472625943">
    <w:abstractNumId w:val="10"/>
  </w:num>
  <w:num w:numId="12" w16cid:durableId="1629698471">
    <w:abstractNumId w:val="4"/>
  </w:num>
  <w:num w:numId="13" w16cid:durableId="21235696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04A17"/>
    <w:rsid w:val="000A1A3E"/>
    <w:rsid w:val="000A330E"/>
    <w:rsid w:val="000C06FB"/>
    <w:rsid w:val="000C7319"/>
    <w:rsid w:val="000E1E92"/>
    <w:rsid w:val="000E6B29"/>
    <w:rsid w:val="000E77E5"/>
    <w:rsid w:val="001243A0"/>
    <w:rsid w:val="00170C4E"/>
    <w:rsid w:val="001B5257"/>
    <w:rsid w:val="001C5F64"/>
    <w:rsid w:val="001F0FB4"/>
    <w:rsid w:val="001F4962"/>
    <w:rsid w:val="002306BF"/>
    <w:rsid w:val="00261511"/>
    <w:rsid w:val="002E5CF0"/>
    <w:rsid w:val="00374FAB"/>
    <w:rsid w:val="003A30A8"/>
    <w:rsid w:val="003F0C94"/>
    <w:rsid w:val="00435B3B"/>
    <w:rsid w:val="004A30FE"/>
    <w:rsid w:val="004C3B2C"/>
    <w:rsid w:val="0050382F"/>
    <w:rsid w:val="00637A29"/>
    <w:rsid w:val="006C40B9"/>
    <w:rsid w:val="006C48D5"/>
    <w:rsid w:val="006D5B97"/>
    <w:rsid w:val="006F1E44"/>
    <w:rsid w:val="006F3106"/>
    <w:rsid w:val="00704330"/>
    <w:rsid w:val="00706899"/>
    <w:rsid w:val="00715FCA"/>
    <w:rsid w:val="00716592"/>
    <w:rsid w:val="00747E62"/>
    <w:rsid w:val="00751E87"/>
    <w:rsid w:val="00761238"/>
    <w:rsid w:val="00784B76"/>
    <w:rsid w:val="008978A0"/>
    <w:rsid w:val="00936F59"/>
    <w:rsid w:val="00957EF6"/>
    <w:rsid w:val="00980E56"/>
    <w:rsid w:val="009A0F44"/>
    <w:rsid w:val="00A510C3"/>
    <w:rsid w:val="00A9793C"/>
    <w:rsid w:val="00AE34CB"/>
    <w:rsid w:val="00B14FEB"/>
    <w:rsid w:val="00B17852"/>
    <w:rsid w:val="00CF159E"/>
    <w:rsid w:val="00D113A7"/>
    <w:rsid w:val="00D37788"/>
    <w:rsid w:val="00D44328"/>
    <w:rsid w:val="00D861E2"/>
    <w:rsid w:val="00DD15F1"/>
    <w:rsid w:val="00E25C86"/>
    <w:rsid w:val="00E32415"/>
    <w:rsid w:val="00EB64E4"/>
    <w:rsid w:val="00ED18F1"/>
    <w:rsid w:val="00F20856"/>
    <w:rsid w:val="00F475D4"/>
    <w:rsid w:val="00F54F56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  <w:style w:type="table" w:customStyle="1" w:styleId="21">
    <w:name w:val="Сетка таблицы2"/>
    <w:basedOn w:val="a1"/>
    <w:next w:val="a4"/>
    <w:uiPriority w:val="59"/>
    <w:rsid w:val="00F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F31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12</cp:revision>
  <cp:lastPrinted>2026-04-07T11:20:00Z</cp:lastPrinted>
  <dcterms:created xsi:type="dcterms:W3CDTF">2025-09-17T06:48:00Z</dcterms:created>
  <dcterms:modified xsi:type="dcterms:W3CDTF">2026-04-07T11:51:00Z</dcterms:modified>
</cp:coreProperties>
</file>